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Приложение № 1</w:t>
      </w:r>
    </w:p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к Договору подряда</w:t>
      </w:r>
    </w:p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от «____» __________ 20 _ г. № ________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sz w:val="26"/>
          <w:szCs w:val="26"/>
          <w:u w:val="none"/>
        </w:rPr>
      </w:pPr>
      <w:r>
        <w:rPr>
          <w:rFonts w:ascii="Liberation Serif" w:hAnsi="Liberation Serif"/>
          <w:b/>
          <w:sz w:val="26"/>
          <w:szCs w:val="26"/>
          <w:u w:val="none"/>
        </w:rPr>
        <w:t>ТЕХНИЧЕСКОЕ ЗАДАНИЕ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lineRule="auto" w:line="240" w:before="0" w:after="40"/>
        <w:ind w:firstLine="567" w:left="0" w:right="0"/>
        <w:contextualSpacing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lineRule="auto" w:line="240" w:before="0" w:after="40"/>
        <w:ind w:firstLine="567" w:left="0" w:right="0"/>
        <w:contextualSpacing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ОКПД2  42.22.22 Выполнение работ по строительству КЛЭП 0,4 кВ — 0,56 км для технологического присоединения объекта «ЭПУ на земельном участке для электроснабжения (Многоквартирный жилой дом)» заявителя ООО "Специализированный застройщик "Уютный дом" договор ТПр от 02.02.2026 №ТПр 31/26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before="0" w:after="40"/>
        <w:ind w:firstLine="567" w:left="0" w:right="0"/>
        <w:contextualSpacing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</w:r>
    </w:p>
    <w:p>
      <w:pPr>
        <w:pStyle w:val="Normal"/>
        <w:widowControl w:val="false"/>
        <w:tabs>
          <w:tab w:val="clear" w:pos="225"/>
          <w:tab w:val="left" w:pos="720" w:leader="none"/>
        </w:tabs>
        <w:bidi w:val="0"/>
        <w:spacing w:before="0" w:after="0"/>
        <w:ind w:firstLine="709" w:left="0" w:right="0"/>
        <w:contextualSpacing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1. Основание для выполнения работ:</w:t>
      </w:r>
    </w:p>
    <w:p>
      <w:pPr>
        <w:pStyle w:val="Normal"/>
        <w:widowControl w:val="false"/>
        <w:bidi w:val="0"/>
        <w:spacing w:before="0" w:after="0"/>
        <w:ind w:firstLine="709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1.1. Инвестиционная программа филиала АО «ДРСК»«ЭС ЕАО» на 2026 г. в составе мероприятий: </w:t>
      </w:r>
      <w:r>
        <w:rPr>
          <w:rFonts w:ascii="Liberation Serif" w:hAnsi="Liberation Serif"/>
          <w:b/>
          <w:bCs/>
          <w:sz w:val="26"/>
          <w:szCs w:val="26"/>
          <w:shd w:fill="auto" w:val="clear"/>
        </w:rPr>
        <w:t>Г-ЕАО-4ПТП.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1.2. Договора технологического присоединения:</w:t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Договор ТПр 31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/26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от 02.02.26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заявитель  ООО С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З «Уютный дом»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2. Перечень и наименование объектов:</w:t>
      </w:r>
    </w:p>
    <w:p>
      <w:pPr>
        <w:pStyle w:val="Normal"/>
        <w:widowControl/>
        <w:suppressAutoHyphens w:val="true"/>
        <w:bidi w:val="0"/>
        <w:spacing w:lineRule="auto" w:line="240"/>
        <w:ind w:firstLine="680" w:left="0" w:right="0"/>
        <w:jc w:val="both"/>
        <w:rPr/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1. 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>С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троительство КЛ 0,4 кВ от 1-ой секции шин РУ-0,4 кВ Ф-19 ТП-178 протяженностью 0,280 км; Строительство КЛ 0,4 кВ от 2-ой секции шин РУ-0,4 кВ Ф-16 ТП-178 протяженностью 0,280 км в г. Биробиджан для технологического присоединения потребителя ООО «СЗ «Уютный дом» 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- 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shd w:fill="auto" w:val="clear"/>
          <w:em w:val="none"/>
        </w:rPr>
        <w:t>Г-ЕАО-4ПТП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3. Вид строительства, его объемы и этапы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3.1. Вид строительства : новое строительство.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3.2. Приобретение материалов будет осуществляться Заказчиком.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 В соответствии с настоящим техническим заданием необходимо;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3.3.1. Выполнить комплекс инженерных изысканий, в том числе сбор исходных данных, в объеме, необходимом для  строительства объекта, в т.ч.: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Выполнение инженерно-геодезических изысканий на местности для подготовки топографической основы, в том числе подеревную геодезическую съемку;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Нанесении плана трассы линий электропередач , на топографическую основу 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Согласовать с Заказчиком плана трассы линий электропередач, на топографической основе;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Получить технические условия (согласования) необходимые для проведения работ по разработке проектно-сметной документации от: специализированных организаций и балансодержателей инженерных сетей и коммуникаций, органов местного самоуправления, а также третьих лиц на земельных участках которых будут располагаться объекты строительства;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3.3.2. Разработать рабочую документацию в соответствии с Техническими условиями  </w:t>
      </w:r>
      <w:r>
        <w:rPr>
          <w:rFonts w:ascii="Liberation Serif" w:hAnsi="Liberation Serif"/>
          <w:b w:val="false"/>
          <w:bCs w:val="false"/>
          <w:color w:val="000000"/>
          <w:sz w:val="26"/>
          <w:szCs w:val="26"/>
          <w:shd w:fill="FFFFFF" w:val="clear"/>
        </w:rPr>
        <w:t>приложение № 1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 к настоящему техническому заданию,   обеспечивающую реализацию принятых технических решений объекта, необходимых для производства строительно-монтажных и пусконаладочных работ (при необходимости предусмотреть обоснование и согласование с Заказчиком основных технических решений по объекту в более ранний срок).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3.3.3. Разработать и выдать сметную документацию Заказчику, согласно действующим требованиям по ценообразованию, а в случае отсутствия необходимых расценок в сметной нормативной базе (далее по тексту СНБ) или применения не актуальных расценок на материалы и оборудование в (СНБ), к сметной документации необходимо предоставить коммерческие предложения (не менее 3-х от разных поставщиков) и составить конъюнктурный анализ.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3.3.4. Выполнить строительно-монтажные работы в соответствии с разработанной Подрядчиком  и  утверждённой  Заказчиком рабочей документацией.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4. Требования к проектно изыскательским работам: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4.1. Картографический материал предоставить в масштабе 1:500 и 1:2000 на бумажном и электронном носителях.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4.2. В состав рабочей документации включить: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- лист согласований;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- ведомость ссылочных и прилагаемых документов;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планы прохождения трасс линий электропередач на топографическом плане (топографическая съемка);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расчет сечение провода (кабеля) исходя из планируемых нагрузок;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общий вид,  план расположения оборудования, габаритные, установочные и присоединительные размеры;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ведомости и схемы пересечений;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профили мест пересечения линий электропередач с линейными объектами и инженерными сооружениями с указанием габаритов;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способы прокладки КЛ;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принципиальная схема электроснабжения;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схему заходов и присоединений  к ПС и ТП;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конструктивно-строительные решения 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спецификацию материалов, изделий, конструкций и оборудования;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краткую пояснительную записку с описанием строительных и электротехнических решений;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пояснительная записка к сметной документации, в т.ч. сметная документация;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отдельные локальные сметные расчёты 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перечень исполнительно-технической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4.3. Использование форматов при передаче документации в электронном виде  в соответствии с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 xml:space="preserve">приложением № 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>2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к настоящему Техническому заданию.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4.4.</w:t>
        <w:tab/>
        <w:t>Разработанная рабочая и сметная документация является собственностью Заказчика и передача её третьим лицам без его согласия запрещается.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4.5. Исключительные права на разработанную в рамках договора рабочую,  документацию и на результаты выполнения изыскательских работ принадлежат Заказчику с момента приемки рабочей и сметной документации и результата выполнения изыскательских работ. Заказчик вправе использовать разработанную Подрядчиком в рамках договора рабочую и 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4.6. 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4.7. Проектная организация обеспечивает согласование разработанной сметной и рабочей документации с заинтересованными государственными надзорными органами, организациями природопользования и охраны окружающей среды, земле и лесопользователями, эксплуатирующими организациями инженерных коммуникаций и другими заинтересованными организациями.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4.8. Проектная организация устраняет за свой счет все замечания к рабочей и сметной документации, полученные от Заказчика.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4.9. Работы по проектированию считаются выполненными после утверждения Заказчиком рабочей, сметной документации и получения положительного заключения ведомственной экспертизы или в случае отсутствия необходимости проведения экспертизы - после утверждения Заказчиком.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4.10. Разработанную и согласованную рабочую и сметную документацию передать Заказчику: на бумажном носителе – в 3-х экз.; на электронном носителе: flash – носителе USB, компакт-диске CD-R или CD-RW, понаписанную и сканированную в формате pdf, а также в редактируемом формате – в 1 экз.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4.11. Основные  нормативно-технические документы (НТД), определяющие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требования к рабочей документации: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"Градостроительный кодекс Российской Федерации" от 29.12.2004 N 190-ФЗ (ред. от 02.07.2021) (с изм. и доп., вступ. в силу с 01.10.2021);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ПУЭ-7 - Справочная информация: "Правила устройства электроустановок (ПУЭ)";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21.101-2020 (приказ Росстандарта от 23.06.2020 N 282-ст, ИУС 9-2020) Система проектной документации для строительства (СПДС). Основные требования к проектной и рабочей документации.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ФЗ-123 «Технический регламент о требованиях пожарной безопасности» с изменениями на 14.07.2022.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ПУЭ и ПТЭ (действующие издания).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Правила технологического функционирования электроэнергетических систем, утверждены постановлением Правительства Российской Федерации, постановление правительства от 13.08.2018 № 937с изменениями на 30.12.2022 года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Техническая политика Группы РусГидро (введена в действие Приказом АО «ДРСК» от 28.04.2022 №220 «О вводе в действие Технической политики Группы РусГидро»).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Регламент формирования, согласования и утверждения сметной документации ОАО «ДРСК».</w:t>
        <w:tab/>
        <w:t xml:space="preserve"> Обзорная карта климатического районирования по видам гололёдно-морозевых явлений в регионах присутствия АО «ДРСК»; Региональные карты климатического районирования (далее РККР) для территории Амурской области, Приморского края, Хабаровского края, Еврейской автономной области и республики Саха (Якутия) (введено в действие Приказом АО «ДРСК» № 386 от 18.10.2021).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Национальный стандарт Российской Федерации ГОСТ Р 57114-2022 (приказ Росстандарта от 29.12.2022 N 1683-ст)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"Инструкция по проектированию городских электрических сетей. РД 34.20.185-94" (утв. Минтопэнерго России 07.07.1994, РАО "ЕЭС России" 31.05.1994) (с изм. от 29.06.1999);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"Земельный кодекс Российской Федерации" (ЗК РФ) от 25.10.2001 N 136-ФЗ (последняя редакция) (с изм. и доп., вступ. в силу с 01.01.2019); 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Лесной кодекс Российской Федерации.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Министерства строительства и ЖКХ РФ от 04.08.2020 № 421/пр.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 от 16.04.2021 № 376, утверждённой приказом Минстроя России от 11 декабря 2020 г. № 774/пр , с изм. от 22.04.2022 № 317/пр, от 26.07.2022 № 611/пр.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от 16.04.2021 № 377, утверждённой приказом Минстроя России от 21 декабря 2020 г. № 812/пр., с изм. от 02.09.2021 № 636/пр.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Постановление Правительства РФ от 5 марта 2007 г. N 145                                                                                                            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В случае если какой-либо из указанных в настоящих Технических требованиях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21.1101-2020 Система проектной документации для строительства (СПДС). Основные требования к проектной и рабочей документации.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ФЗ-123 «Технический регламент о требованиях пожарной безопасности» с изменениями на 30.04.2021г.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ним, техническая политика ПАО «РусГидро».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и рабочей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5. Требования к выполнению строительно-монтажных работ: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5.1. Месторасположение объекта строительства: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Еврейская автономная область, г. Биробиджан.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5.2. К выполнению СМР приступить только после письменного согласования Заказчиком рабочей документации;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FFFF00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5.3.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- 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- оформление допуска для производства работ в зоне действующей ЛЭП.  Согласование с заказчиком Календарного графика выполнения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 xml:space="preserve">5.4. 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 xml:space="preserve">5.5. Организация выполнения строительно-монтажных работ осуществляется в соответствии ППР (проекта производства работ) и графиком производства работ, которые разрабатываются Подрядчиком и не менее чем за 10 дней до начала работ предоставляются для согласования Заказчику. ППР разработать с учетом минимизации времени отключения ЛЭП для производства работ и получить все необходимые согласования;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5.6. Работы выполнять при наличии уведомления о начале производства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5.7.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5.8. Обеспечить в установленном у Заказчика порядке оформление наряд-допуска на производство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5.9.</w:t>
        <w:tab/>
        <w:t xml:space="preserve">Подготовку рабочих мест и допуск к выполнению работ выполняет персонал Заказчика.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5.10. Работы,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5.11. 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5.12. Подрядчик самостоятельно извещает заинтересованные организации и сетедержателей о начале выполнения работ в подконтрольной зоне их объектов;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5.13. Работы по Объекту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ПУЭ (действующее издание);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ПТЭ (действующее издание);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48.13330.2019 Организация строительства;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68.13330.2017 Приемка в эксплуатацию законченных строительством объектов. Основные положения;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76.13330.2016 Электротехнические устройства;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126.13330.2017 Геодезические работы в строительстве;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РД-11-02-2006 «Требования к исполнительной документации»;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РД-11-05-2007 «Порядок ведения общего журнала работ»;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Постановление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СНиП 12-03-2001 «Безопасность труда в строительстве», часть 1 «Общие требования»;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СНиП 12-04-2002 «Безопасность труда в строительстве», часть 2 «Строительное производство»;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ГОСТ 12.3.032-84 ССБТ «Работы электромонтажные. Общие требования безопасности»;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безопасности при строительстве линий электропередачи и производства электромонтажных работ (РД 153-34.3-03.285-2002);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пожарной безопасности;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устройства и безопасной эксплуатации грузоподъемных кранов;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Еврейской Автономной Области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5.14.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приемки законченного строительства;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технической готовности электромонтажных работ;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на прокладку кабельных линий;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по монтажу заземляющего устройства с исполнительной схемой;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Исполнительная схема ЛЭП;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Справка об устранении выявленных замечаний (при наличии);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Ордер на производство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Исполнительная документация оформляется в 2 экземплярах: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- 1 экземпляр передается в РЭС;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- 1 экземпляр в отдел капитального строительства и инвестиций филиала АО «ДРСК» «Электрические Сети ЕАО» с подтверждающим документом, отражающим факт приемки исполнительной документации РЭС в бумажном виде и полный отсканированный комплект в формате pdf.</w:t>
      </w:r>
    </w:p>
    <w:p>
      <w:pPr>
        <w:pStyle w:val="Normal"/>
        <w:widowControl/>
        <w:suppressAutoHyphens w:val="true"/>
        <w:bidi w:val="0"/>
        <w:spacing w:before="57" w:after="57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5.15. Заказчик может дать письменное распоряжение, обязательное для Подрядчика, с указанием: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- увеличить или сократить объем любой работы, включенной в Договор;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исключить любую работу;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изменить характер или качество, или вид любой части работы;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выполнить дополнительную работу любого характера, необходимую для завершения строительства объекта;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5.16.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5.17. Фактическое выполнение строительно-монтажных работ, в т.ч. скрытых, подтверждается фотоотчетом.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6. Материалы и оборудование, необходимые для выполнения работ и основные требования к качеству поставляемых материально-технических ресурсов: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6.1. Поставка оборудования и материалов осуществляется Подрядчиком в соответствии с опросными листами и заказными спецификациями, разработанными в составе рабочей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6.2. Подрядчик в обязательном порядке письменно согласовывает с Заказчиком поставщика оборудования и материалов.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6.3. Поставку материалов и оборудования на объект, разгрузку и хранение материалов и конструкций осуществляет Подрядчик: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6.4.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испытаний. Надлежащее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6.5.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«Электрические Сети ЕАО»,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7. Требования к Участнику.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7.1. Требование к участнику в соответствии с документацией о закупочной процедуре и условиями Договора.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8. Требования к выполнению и оформлению сметных расчетов.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8.1.Требования к документации по ценообразованию на этапе закупки: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8.</w:t>
      </w:r>
      <w:r>
        <w:rPr>
          <w:rFonts w:ascii="Liberation Serif" w:hAnsi="Liberation Serif"/>
          <w:b w:val="false"/>
          <w:bCs w:val="false"/>
          <w:sz w:val="26"/>
          <w:szCs w:val="26"/>
        </w:rPr>
        <w:t>2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. Разработка сметной документации при исполнении договора осуществляется  в соответствии с договорными условиями и 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 xml:space="preserve">приложением № 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>3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к настоящему Техническому заданию «Требования к оформлению и составлению сметной документации».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9. Сроки выполнения работ.</w:t>
      </w:r>
    </w:p>
    <w:p>
      <w:pPr>
        <w:pStyle w:val="Normal"/>
        <w:widowControl w:val="false"/>
        <w:tabs>
          <w:tab w:val="clear" w:pos="225"/>
          <w:tab w:val="left" w:pos="993" w:leader="none"/>
        </w:tabs>
        <w:spacing w:before="0" w:after="0"/>
        <w:ind w:hanging="0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Перечень объектов строительства и по объектные сроки выполнения работ</w:t>
      </w:r>
    </w:p>
    <w:p>
      <w:pPr>
        <w:pStyle w:val="Normal"/>
        <w:widowControl w:val="false"/>
        <w:tabs>
          <w:tab w:val="clear" w:pos="225"/>
          <w:tab w:val="left" w:pos="993" w:leader="none"/>
        </w:tabs>
        <w:spacing w:before="0" w:after="0"/>
        <w:ind w:hanging="0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tbl>
      <w:tblPr>
        <w:tblW w:w="8917" w:type="dxa"/>
        <w:jc w:val="left"/>
        <w:tblInd w:w="2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6183"/>
        <w:gridCol w:w="2117"/>
      </w:tblGrid>
      <w:tr>
        <w:trPr>
          <w:trHeight w:val="512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№ </w:t>
            </w:r>
            <w:r>
              <w:rPr>
                <w:rFonts w:ascii="Liberation Serif" w:hAnsi="Liberation Serif"/>
                <w:sz w:val="26"/>
                <w:szCs w:val="26"/>
              </w:rPr>
              <w:t>п/п</w:t>
            </w:r>
          </w:p>
        </w:tc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firstLine="709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firstLine="709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Наименование Объекта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hanging="0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Срок окончания выполнения работ по объекту</w:t>
            </w:r>
          </w:p>
        </w:tc>
      </w:tr>
      <w:tr>
        <w:trPr>
          <w:trHeight w:val="512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hanging="0" w:left="113" w:right="0"/>
              <w:jc w:val="both"/>
              <w:rPr/>
            </w:pP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 xml:space="preserve">Строительство КЛ 0,4 кВ от 1-ой секции шин РУ-0,4 кВ Ф-19 ТП-178 протяженностью 0,280 км; Строительство КЛ 0,4 кВ от 2-ой секции шин РУ-0,4 кВ Ф-16 ТП-178 протяженностью 0,280 км в г. Биробиджан для технологического присоединения потребителя ООО «СЗ «Уютный дом» 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  <w:lang w:eastAsia="en-US"/>
              </w:rPr>
              <w:t xml:space="preserve"> -  </w:t>
            </w:r>
            <w:r>
              <w:rPr>
                <w:rFonts w:eastAsia="Batang;바탕"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shd w:fill="auto" w:val="clear"/>
                <w:em w:val="none"/>
                <w:lang w:eastAsia="en-US"/>
              </w:rPr>
              <w:t>Г-ЕАО-4ПТП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  <w:lang w:eastAsia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before="0" w:after="0"/>
              <w:ind w:hanging="0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30.11.2026 г.</w:t>
            </w:r>
          </w:p>
        </w:tc>
      </w:tr>
    </w:tbl>
    <w:p>
      <w:pPr>
        <w:pStyle w:val="Normal"/>
        <w:widowControl/>
        <w:suppressAutoHyphens w:val="true"/>
        <w:bidi w:val="0"/>
        <w:ind w:firstLine="680" w:left="0" w:right="0"/>
        <w:jc w:val="left"/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r>
    </w:p>
    <w:p>
      <w:pPr>
        <w:pStyle w:val="Normal"/>
        <w:widowControl/>
        <w:suppressAutoHyphens w:val="true"/>
        <w:bidi w:val="0"/>
        <w:ind w:firstLine="680" w:left="0" w:right="0"/>
        <w:jc w:val="left"/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  <w:t>Срок начала работ – с даты заключения договора.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bCs/>
          <w:strike w:val="false"/>
          <w:dstrike w:val="false"/>
          <w:spacing w:val="-4"/>
          <w:sz w:val="26"/>
          <w:szCs w:val="26"/>
        </w:rPr>
        <w:t xml:space="preserve">Срок окончания выполнения работ по договору - </w:t>
      </w:r>
      <w:r>
        <w:rPr>
          <w:rFonts w:ascii="Liberation Serif" w:hAnsi="Liberation Serif"/>
          <w:b/>
          <w:bCs/>
          <w:strike w:val="false"/>
          <w:dstrike w:val="false"/>
          <w:spacing w:val="-4"/>
          <w:sz w:val="26"/>
          <w:szCs w:val="26"/>
        </w:rPr>
        <w:t xml:space="preserve">не позднее 30.11.2026 </w:t>
      </w:r>
      <w:r>
        <w:rPr>
          <w:rFonts w:ascii="Liberation Serif" w:hAnsi="Liberation Serif"/>
          <w:b/>
          <w:bCs/>
          <w:strike w:val="false"/>
          <w:dstrike w:val="false"/>
          <w:spacing w:val="-4"/>
          <w:sz w:val="26"/>
          <w:szCs w:val="26"/>
          <w:shd w:fill="auto" w:val="clear"/>
        </w:rPr>
        <w:t>г.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/>
      </w:r>
    </w:p>
    <w:p>
      <w:pPr>
        <w:pStyle w:val="Normal"/>
        <w:widowControl/>
        <w:numPr>
          <w:ilvl w:val="0"/>
          <w:numId w:val="0"/>
        </w:numPr>
        <w:tabs>
          <w:tab w:val="clear" w:pos="225"/>
          <w:tab w:val="left" w:pos="284" w:leader="none"/>
        </w:tabs>
        <w:suppressAutoHyphens w:val="true"/>
        <w:kinsoku w:val="true"/>
        <w:overflowPunct w:val="true"/>
        <w:autoSpaceDE w:val="true"/>
        <w:bidi w:val="0"/>
        <w:ind w:hanging="0" w:left="-45" w:right="0"/>
        <w:jc w:val="both"/>
        <w:rPr/>
      </w:pPr>
      <w:r>
        <w:rPr>
          <w:rFonts w:cs="Liberation Serif;Times New Roman"/>
          <w:i/>
          <w:sz w:val="26"/>
          <w:szCs w:val="26"/>
        </w:rPr>
        <w:t xml:space="preserve">           </w:t>
      </w:r>
      <w:r>
        <w:rPr>
          <w:rFonts w:cs="Liberation Serif;Times New Roman"/>
          <w:i/>
          <w:sz w:val="26"/>
          <w:szCs w:val="26"/>
        </w:rPr>
        <w:t>1. Технические условия в электронном виде.</w:t>
      </w:r>
    </w:p>
    <w:p>
      <w:pPr>
        <w:pStyle w:val="Normal"/>
        <w:widowControl/>
        <w:numPr>
          <w:ilvl w:val="0"/>
          <w:numId w:val="0"/>
        </w:numPr>
        <w:tabs>
          <w:tab w:val="clear" w:pos="225"/>
          <w:tab w:val="left" w:pos="284" w:leader="none"/>
        </w:tabs>
        <w:suppressAutoHyphens w:val="true"/>
        <w:kinsoku w:val="true"/>
        <w:overflowPunct w:val="true"/>
        <w:autoSpaceDE w:val="true"/>
        <w:bidi w:val="0"/>
        <w:ind w:hanging="0" w:left="-45" w:right="0"/>
        <w:jc w:val="both"/>
        <w:rPr/>
      </w:pPr>
      <w:r>
        <w:rPr>
          <w:rFonts w:eastAsia="Times New Roman" w:cs="Times New Roman"/>
          <w:i/>
          <w:sz w:val="26"/>
          <w:szCs w:val="26"/>
          <w:shd w:fill="auto" w:val="clear"/>
        </w:rPr>
        <w:t xml:space="preserve">           </w:t>
      </w:r>
      <w:r>
        <w:rPr>
          <w:rFonts w:cs="Liberation Serif;Times New Roman"/>
          <w:i/>
          <w:sz w:val="26"/>
          <w:szCs w:val="26"/>
          <w:shd w:fill="auto" w:val="clear"/>
        </w:rPr>
        <w:t xml:space="preserve">2. 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iCs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Использование форматов при передаче документации</w:t>
      </w:r>
      <w:r>
        <w:rPr>
          <w:rFonts w:cs="Liberation Serif;Times New Roman"/>
          <w:i/>
          <w:sz w:val="26"/>
          <w:szCs w:val="26"/>
          <w:shd w:fill="auto" w:val="clear"/>
        </w:rPr>
        <w:t xml:space="preserve"> в электронном виде.</w:t>
      </w:r>
    </w:p>
    <w:p>
      <w:pPr>
        <w:pStyle w:val="Normal"/>
        <w:widowControl/>
        <w:tabs>
          <w:tab w:val="clear" w:pos="225"/>
          <w:tab w:val="left" w:pos="284" w:leader="none"/>
        </w:tabs>
        <w:suppressAutoHyphens w:val="true"/>
        <w:bidi w:val="0"/>
        <w:ind w:firstLine="680" w:right="0"/>
        <w:jc w:val="both"/>
        <w:rPr/>
      </w:pPr>
      <w:r>
        <w:rPr>
          <w:rFonts w:eastAsia="Times New Roman" w:cs="Liberation Serif;Times New Roman" w:ascii="Liberation Serif" w:hAnsi="Liberation Serif"/>
          <w:b w:val="false"/>
          <w:bCs/>
          <w:i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3.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Требования к оформлению и составлению сметной документации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iCs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 xml:space="preserve"> в электронном виде.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</w:r>
    </w:p>
    <w:sectPr>
      <w:footerReference w:type="default" r:id="rId2"/>
      <w:type w:val="nextPage"/>
      <w:pgSz w:w="11906" w:h="16838"/>
      <w:pgMar w:left="1418" w:right="851" w:gutter="0" w:header="0" w:top="1134" w:footer="705" w:bottom="115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8"/>
  <w:defaultTabStop w:val="225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ucida Sans Unicode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;Times New Roman" w:hAnsi="Times New Roman;Times New Roman" w:eastAsia="Times New Roman;Times New Roman" w:cs="Times New Roman;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Style22"/>
    <w:qFormat/>
    <w:pPr/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spacing w:before="240" w:after="60"/>
      <w:outlineLvl w:val="2"/>
    </w:pPr>
    <w:rPr>
      <w:rFonts w:ascii="Arial" w:hAnsi="Arial" w:cs="Arial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b/>
    </w:rPr>
  </w:style>
  <w:style w:type="character" w:styleId="WW8Num7z1">
    <w:name w:val="WW8Num7z1"/>
    <w:qFormat/>
    <w:rPr>
      <w:b w:val="false"/>
    </w:rPr>
  </w:style>
  <w:style w:type="character" w:styleId="WW8Num7z3">
    <w:name w:val="WW8Num7z3"/>
    <w:qFormat/>
    <w:rPr/>
  </w:style>
  <w:style w:type="character" w:styleId="WW8Num8z0">
    <w:name w:val="WW8Num8z0"/>
    <w:qFormat/>
    <w:rPr>
      <w:rFonts w:ascii="Times New Roman;Times New Roman" w:hAnsi="Times New Roman;Times New Roman" w:cs="Times New Roman;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8z5">
    <w:name w:val="WW8Num8z5"/>
    <w:qFormat/>
    <w:rPr>
      <w:rFonts w:ascii="Wingdings" w:hAnsi="Wingdings" w:cs="Wingdings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>
      <w:b w:val="false"/>
      <w:sz w:val="26"/>
      <w:szCs w:val="26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i/>
      <w:sz w:val="26"/>
      <w:szCs w:val="26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2z0">
    <w:name w:val="WW8Num22z0"/>
    <w:qFormat/>
    <w:rPr>
      <w:b/>
    </w:rPr>
  </w:style>
  <w:style w:type="character" w:styleId="WW8Num22z1">
    <w:name w:val="WW8Num22z1"/>
    <w:qFormat/>
    <w:rPr>
      <w:b w:val="false"/>
      <w:i w:val="false"/>
      <w:color w:val="000000"/>
    </w:rPr>
  </w:style>
  <w:style w:type="character" w:styleId="WW8Num22z2">
    <w:name w:val="WW8Num22z2"/>
    <w:qFormat/>
    <w:rPr>
      <w:b w:val="false"/>
    </w:rPr>
  </w:style>
  <w:style w:type="character" w:styleId="WW8Num22z3">
    <w:name w:val="WW8Num22z3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Style7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Style8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FontStyle22">
    <w:name w:val="Font Style22"/>
    <w:qFormat/>
    <w:rPr>
      <w:rFonts w:ascii="Times New Roman;Times New Roman" w:hAnsi="Times New Roman;Times New Roman" w:cs="Times New Roman;Times New Roman"/>
      <w:b/>
      <w:bCs/>
      <w:sz w:val="30"/>
      <w:szCs w:val="30"/>
    </w:rPr>
  </w:style>
  <w:style w:type="character" w:styleId="3">
    <w:name w:val="Основной текст с отступом 3 Знак"/>
    <w:qFormat/>
    <w:rPr>
      <w:sz w:val="16"/>
      <w:szCs w:val="16"/>
    </w:rPr>
  </w:style>
  <w:style w:type="character" w:styleId="Apple-converted-space">
    <w:name w:val="apple-converted-space"/>
    <w:qFormat/>
    <w:rPr/>
  </w:style>
  <w:style w:type="character" w:styleId="Style9">
    <w:name w:val="Основной текст с отступом Знак"/>
    <w:qFormat/>
    <w:rPr>
      <w:sz w:val="24"/>
      <w:szCs w:val="24"/>
    </w:rPr>
  </w:style>
  <w:style w:type="character" w:styleId="St">
    <w:name w:val="st"/>
    <w:qFormat/>
    <w:rPr/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Нижний колонтитул Знак"/>
    <w:qFormat/>
    <w:rPr>
      <w:sz w:val="24"/>
      <w:szCs w:val="24"/>
    </w:rPr>
  </w:style>
  <w:style w:type="character" w:styleId="Style12">
    <w:name w:val="Основной текст_"/>
    <w:qFormat/>
    <w:rPr>
      <w:spacing w:val="1"/>
      <w:sz w:val="23"/>
      <w:szCs w:val="23"/>
      <w:shd w:fill="FFFFFF" w:val="clear"/>
    </w:rPr>
  </w:style>
  <w:style w:type="character" w:styleId="Style13">
    <w:name w:val="Знак примечания"/>
    <w:qFormat/>
    <w:rPr>
      <w:sz w:val="16"/>
      <w:szCs w:val="16"/>
    </w:rPr>
  </w:style>
  <w:style w:type="character" w:styleId="Style14">
    <w:name w:val="Текст примечания Знак"/>
    <w:basedOn w:val="Style7"/>
    <w:qFormat/>
    <w:rPr/>
  </w:style>
  <w:style w:type="character" w:styleId="Style15">
    <w:name w:val="Тема примечания Знак"/>
    <w:qFormat/>
    <w:rPr>
      <w:b/>
      <w:bCs/>
    </w:rPr>
  </w:style>
  <w:style w:type="character" w:styleId="Style16">
    <w:name w:val="Текст сноски Знак"/>
    <w:basedOn w:val="Style7"/>
    <w:qFormat/>
    <w:rPr/>
  </w:style>
  <w:style w:type="character" w:styleId="Style17">
    <w:name w:val="Символ сноски"/>
    <w:qFormat/>
    <w:rPr>
      <w:vertAlign w:val="superscript"/>
    </w:rPr>
  </w:style>
  <w:style w:type="character" w:styleId="Style18">
    <w:name w:val="Основной текст Знак"/>
    <w:qFormat/>
    <w:rPr>
      <w:rFonts w:eastAsia="MS Mincho;Yu Gothic UI"/>
      <w:i/>
      <w:iCs/>
      <w:sz w:val="24"/>
      <w:szCs w:val="24"/>
      <w:lang w:eastAsia="ja-JP"/>
    </w:rPr>
  </w:style>
  <w:style w:type="character" w:styleId="Style19">
    <w:name w:val="Абзац списка Знак"/>
    <w:qFormat/>
    <w:rPr>
      <w:sz w:val="24"/>
      <w:szCs w:val="24"/>
    </w:rPr>
  </w:style>
  <w:style w:type="character" w:styleId="Style20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21">
    <w:name w:val="Символ нумерации"/>
    <w:qFormat/>
    <w:rPr/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BodyText">
    <w:name w:val="Body Text"/>
    <w:basedOn w:val="Normal"/>
    <w:pPr>
      <w:widowControl w:val="false"/>
      <w:spacing w:before="0" w:after="120"/>
    </w:pPr>
    <w:rPr>
      <w:rFonts w:eastAsia="MS Mincho;Yu Gothic UI"/>
      <w:i/>
      <w:iCs/>
      <w:lang w:eastAsia="ja-JP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Style24">
    <w:name w:val=" Знак Знак Знак Знак Знак Знак Знак Знак Знак Знак"/>
    <w:basedOn w:val="Normal"/>
    <w:qFormat/>
    <w:pPr>
      <w:tabs>
        <w:tab w:val="clear" w:pos="225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5">
    <w:name w:val="Пункт б/н"/>
    <w:basedOn w:val="Normal"/>
    <w:qFormat/>
    <w:pPr>
      <w:tabs>
        <w:tab w:val="clear" w:pos="225"/>
        <w:tab w:val="left" w:pos="1134" w:leader="none"/>
      </w:tabs>
      <w:spacing w:lineRule="auto" w:line="360"/>
      <w:ind w:firstLine="567" w:left="0" w:right="0"/>
      <w:jc w:val="both"/>
    </w:pPr>
    <w:rPr>
      <w:sz w:val="28"/>
      <w:szCs w:val="20"/>
    </w:rPr>
  </w:style>
  <w:style w:type="paragraph" w:styleId="Style2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7">
    <w:name w:val="Обычный (веб)"/>
    <w:basedOn w:val="Normal"/>
    <w:qFormat/>
    <w:pPr>
      <w:spacing w:before="280" w:after="280"/>
    </w:pPr>
    <w:rPr/>
  </w:style>
  <w:style w:type="paragraph" w:styleId="Style28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31">
    <w:name w:val="Основной текст с отступом 3"/>
    <w:basedOn w:val="Normal"/>
    <w:qFormat/>
    <w:pPr>
      <w:spacing w:before="0" w:after="120"/>
      <w:ind w:hanging="0" w:left="283" w:right="0"/>
    </w:pPr>
    <w:rPr>
      <w:sz w:val="16"/>
      <w:szCs w:val="16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225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225"/>
        <w:tab w:val="center" w:pos="4677" w:leader="none"/>
        <w:tab w:val="right" w:pos="9355" w:leader="none"/>
      </w:tabs>
    </w:pPr>
    <w:rPr/>
  </w:style>
  <w:style w:type="paragraph" w:styleId="32">
    <w:name w:val="Основной текст3"/>
    <w:basedOn w:val="Normal"/>
    <w:qFormat/>
    <w:pPr>
      <w:widowControl w:val="false"/>
      <w:spacing w:lineRule="exact" w:line="299" w:before="60" w:after="0"/>
      <w:ind w:hanging="740" w:left="0" w:right="0"/>
    </w:pPr>
    <w:rPr>
      <w:spacing w:val="1"/>
      <w:sz w:val="23"/>
      <w:szCs w:val="23"/>
    </w:rPr>
  </w:style>
  <w:style w:type="paragraph" w:styleId="Style30">
    <w:name w:val="Текст примечания"/>
    <w:basedOn w:val="Normal"/>
    <w:qFormat/>
    <w:pPr/>
    <w:rPr>
      <w:sz w:val="20"/>
      <w:szCs w:val="20"/>
    </w:rPr>
  </w:style>
  <w:style w:type="paragraph" w:styleId="Style31">
    <w:name w:val="Тема примечания"/>
    <w:basedOn w:val="Style30"/>
    <w:next w:val="Style30"/>
    <w:qFormat/>
    <w:pPr/>
    <w:rPr>
      <w:b/>
      <w:bCs/>
    </w:rPr>
  </w:style>
  <w:style w:type="paragraph" w:styleId="FootnoteText">
    <w:name w:val="Footnote Text"/>
    <w:basedOn w:val="Normal"/>
    <w:pPr>
      <w:spacing w:before="60" w:after="0"/>
      <w:jc w:val="both"/>
    </w:pPr>
    <w:rPr>
      <w:sz w:val="20"/>
      <w:szCs w:val="20"/>
    </w:rPr>
  </w:style>
  <w:style w:type="paragraph" w:styleId="Style32">
    <w:name w:val="Содержимое таблицы"/>
    <w:basedOn w:val="Normal"/>
    <w:qFormat/>
    <w:pPr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1598</TotalTime>
  <Application>AlterOffice/2026.2.0.0$Linux_X86_64 LibreOffice_project/bc4ef1adf80b36c7a6365f8ed6cbf29021361edd</Application>
  <AppVersion>15.0000</AppVersion>
  <Pages>8</Pages>
  <Words>2676</Words>
  <Characters>19204</Characters>
  <CharactersWithSpaces>21869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2022-12-22T09:12:00Z</dcterms:created>
  <dc:creator>Мартель О.С.</dc:creator>
  <dc:description/>
  <dc:language>ru-RU</dc:language>
  <cp:lastModifiedBy>tsaregorodtsev_av</cp:lastModifiedBy>
  <cp:lastPrinted>2024-02-21T15:43:29Z</cp:lastPrinted>
  <dcterms:modified xsi:type="dcterms:W3CDTF">2026-08-20T18:04:12Z</dcterms:modified>
  <cp:revision>74</cp:revision>
  <dc:subject/>
  <dc:title>Приложение№1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